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435" w:rsidRPr="008D60F0" w:rsidRDefault="00A31435" w:rsidP="00A31435">
      <w:pPr>
        <w:jc w:val="center"/>
        <w:rPr>
          <w:b/>
          <w:sz w:val="24"/>
          <w:szCs w:val="24"/>
        </w:rPr>
      </w:pPr>
      <w:r w:rsidRPr="008D60F0">
        <w:rPr>
          <w:b/>
          <w:sz w:val="24"/>
          <w:szCs w:val="24"/>
        </w:rPr>
        <w:t>PROJECT 1:</w:t>
      </w:r>
      <w:r>
        <w:rPr>
          <w:b/>
          <w:sz w:val="24"/>
          <w:szCs w:val="24"/>
        </w:rPr>
        <w:t xml:space="preserve"> Overview</w:t>
      </w:r>
    </w:p>
    <w:p w:rsidR="00A31435" w:rsidRPr="008D60F0" w:rsidRDefault="00A31435" w:rsidP="00A31435">
      <w:pPr>
        <w:jc w:val="center"/>
        <w:rPr>
          <w:sz w:val="24"/>
          <w:szCs w:val="24"/>
        </w:rPr>
      </w:pPr>
      <w:r w:rsidRPr="008D60F0">
        <w:rPr>
          <w:sz w:val="24"/>
          <w:szCs w:val="24"/>
        </w:rPr>
        <w:t>CONSULTS URBAN CENTERS/TRADITIONAL NEIGHBORHOOD DESIGN</w:t>
      </w:r>
    </w:p>
    <w:p w:rsidR="00A31435" w:rsidRPr="008D60F0" w:rsidRDefault="00A31435" w:rsidP="00A31435">
      <w:pPr>
        <w:jc w:val="center"/>
        <w:rPr>
          <w:sz w:val="24"/>
          <w:szCs w:val="24"/>
        </w:rPr>
      </w:pPr>
    </w:p>
    <w:p w:rsidR="00A31435" w:rsidRPr="008D60F0" w:rsidRDefault="00A31435" w:rsidP="00A31435">
      <w:pPr>
        <w:rPr>
          <w:sz w:val="24"/>
          <w:szCs w:val="24"/>
        </w:rPr>
      </w:pPr>
      <w:r w:rsidRPr="008D60F0">
        <w:rPr>
          <w:sz w:val="24"/>
          <w:szCs w:val="24"/>
        </w:rPr>
        <w:t xml:space="preserve">You have been selected to be part of the first Consults project to give us important feedback on </w:t>
      </w:r>
      <w:r w:rsidR="00E66F01" w:rsidRPr="008D60F0">
        <w:rPr>
          <w:sz w:val="24"/>
          <w:szCs w:val="24"/>
        </w:rPr>
        <w:t>the proposed</w:t>
      </w:r>
      <w:r w:rsidRPr="008D60F0">
        <w:rPr>
          <w:sz w:val="24"/>
          <w:szCs w:val="24"/>
        </w:rPr>
        <w:t xml:space="preserve"> Urban Center/TND </w:t>
      </w:r>
      <w:r w:rsidR="00E66F01" w:rsidRPr="008D60F0">
        <w:rPr>
          <w:sz w:val="24"/>
          <w:szCs w:val="24"/>
        </w:rPr>
        <w:t>concept.</w:t>
      </w:r>
      <w:r w:rsidRPr="008D60F0">
        <w:rPr>
          <w:sz w:val="24"/>
          <w:szCs w:val="24"/>
        </w:rPr>
        <w:t xml:space="preserve">  This information was reviewed with the Board of Supervisors at the February Planning Commission retreat, and is to be discussed in an upcoming workshop of the same two bodies. </w:t>
      </w:r>
    </w:p>
    <w:p w:rsidR="00A31435" w:rsidRPr="008D60F0" w:rsidRDefault="00A31435" w:rsidP="00A31435">
      <w:pPr>
        <w:rPr>
          <w:sz w:val="24"/>
          <w:szCs w:val="24"/>
        </w:rPr>
      </w:pPr>
    </w:p>
    <w:p w:rsidR="00A31435" w:rsidRPr="008D60F0" w:rsidRDefault="00A31435" w:rsidP="00A31435">
      <w:pPr>
        <w:rPr>
          <w:sz w:val="24"/>
          <w:szCs w:val="24"/>
        </w:rPr>
      </w:pPr>
      <w:r w:rsidRPr="008D60F0">
        <w:rPr>
          <w:sz w:val="24"/>
          <w:szCs w:val="24"/>
        </w:rPr>
        <w:t xml:space="preserve">The 2030 Frederick County Comprehensive plan approved in 2011 identified   a number of </w:t>
      </w:r>
      <w:r w:rsidR="00E66F01" w:rsidRPr="008D60F0">
        <w:rPr>
          <w:sz w:val="24"/>
          <w:szCs w:val="24"/>
        </w:rPr>
        <w:t>potential locations</w:t>
      </w:r>
      <w:r w:rsidRPr="008D60F0">
        <w:rPr>
          <w:sz w:val="24"/>
          <w:szCs w:val="24"/>
        </w:rPr>
        <w:t xml:space="preserve"> for what are called “Urban Centers”; actually 5 Urban Centers, and 11 smaller Neighborhood Villages).  These are locations calling for denser development—residential, commercial, employment, public use, etc.  The purpose is to reduce the cost of new development, and </w:t>
      </w:r>
      <w:r w:rsidR="00E66F01" w:rsidRPr="008D60F0">
        <w:rPr>
          <w:sz w:val="24"/>
          <w:szCs w:val="24"/>
        </w:rPr>
        <w:t>accommodate</w:t>
      </w:r>
      <w:r w:rsidRPr="008D60F0">
        <w:rPr>
          <w:sz w:val="24"/>
          <w:szCs w:val="24"/>
        </w:rPr>
        <w:t xml:space="preserve"> market driven population growth and housing choice. The Center areas were identified by land mass, transportation access, potential for utilities, etc.  Four of these areas have been further defined in more recently adopted Area Plans. Each Center has been given a “theme” which will help in giving it future identity.</w:t>
      </w:r>
    </w:p>
    <w:p w:rsidR="00A31435" w:rsidRPr="008D60F0" w:rsidRDefault="00A31435" w:rsidP="00A31435">
      <w:pPr>
        <w:rPr>
          <w:sz w:val="24"/>
          <w:szCs w:val="24"/>
        </w:rPr>
      </w:pPr>
    </w:p>
    <w:p w:rsidR="00A31435" w:rsidRPr="008D60F0" w:rsidRDefault="00A31435" w:rsidP="00A31435">
      <w:pPr>
        <w:rPr>
          <w:sz w:val="24"/>
          <w:szCs w:val="24"/>
        </w:rPr>
      </w:pPr>
      <w:r w:rsidRPr="008D60F0">
        <w:rPr>
          <w:sz w:val="24"/>
          <w:szCs w:val="24"/>
        </w:rPr>
        <w:t xml:space="preserve">Within the same thought process, Neighborhood Centers have been included in  the Comprehensive Plan as a means to insert some retail activity within existing, large residentially developed area to serve its populations already there. </w:t>
      </w:r>
    </w:p>
    <w:p w:rsidR="00A31435" w:rsidRPr="008D60F0" w:rsidRDefault="00A31435" w:rsidP="00A31435">
      <w:pPr>
        <w:rPr>
          <w:sz w:val="24"/>
          <w:szCs w:val="24"/>
        </w:rPr>
      </w:pPr>
    </w:p>
    <w:p w:rsidR="00A31435" w:rsidRPr="008D60F0" w:rsidRDefault="00A31435" w:rsidP="00A31435">
      <w:pPr>
        <w:rPr>
          <w:sz w:val="24"/>
          <w:szCs w:val="24"/>
        </w:rPr>
      </w:pPr>
      <w:r w:rsidRPr="008D60F0">
        <w:rPr>
          <w:sz w:val="24"/>
          <w:szCs w:val="24"/>
        </w:rPr>
        <w:t>In support of the Urban Centers, the Traditional Neighborhood Design (TND) ordinance has been created as a template for how Urban Centers can be developed.  TND may be the choice of the developer.   However, with the exception of density (TND offers a larger opportunity for the use of Transfer of Development Rights), other existing ordinances may be followed to get to a similar concept as TND. While the Comprehensive Plan has a 20 year outlook, there is little doubt that the Urban Centers envisioned have a closer to 50 year life to bring to fruition.</w:t>
      </w:r>
    </w:p>
    <w:p w:rsidR="00A31435" w:rsidRPr="008D60F0" w:rsidRDefault="00A31435" w:rsidP="00A31435">
      <w:pPr>
        <w:rPr>
          <w:sz w:val="24"/>
          <w:szCs w:val="24"/>
        </w:rPr>
      </w:pPr>
    </w:p>
    <w:p w:rsidR="00A31435" w:rsidRPr="008D60F0" w:rsidRDefault="00A31435" w:rsidP="00A31435">
      <w:pPr>
        <w:rPr>
          <w:sz w:val="24"/>
          <w:szCs w:val="24"/>
        </w:rPr>
      </w:pPr>
      <w:r w:rsidRPr="008D60F0">
        <w:rPr>
          <w:sz w:val="24"/>
          <w:szCs w:val="24"/>
        </w:rPr>
        <w:br w:type="page"/>
      </w:r>
    </w:p>
    <w:p w:rsidR="00A31435" w:rsidRPr="008D60F0" w:rsidRDefault="00A31435" w:rsidP="00A31435">
      <w:pPr>
        <w:rPr>
          <w:sz w:val="24"/>
          <w:szCs w:val="24"/>
        </w:rPr>
      </w:pPr>
    </w:p>
    <w:p w:rsidR="00A31435" w:rsidRPr="008D60F0" w:rsidRDefault="00A31435" w:rsidP="00A31435">
      <w:pPr>
        <w:rPr>
          <w:sz w:val="24"/>
          <w:szCs w:val="24"/>
        </w:rPr>
      </w:pPr>
      <w:r w:rsidRPr="008D60F0">
        <w:rPr>
          <w:sz w:val="24"/>
          <w:szCs w:val="24"/>
        </w:rPr>
        <w:t xml:space="preserve">The centers identified </w:t>
      </w:r>
      <w:r w:rsidR="00E66F01" w:rsidRPr="008D60F0">
        <w:rPr>
          <w:sz w:val="24"/>
          <w:szCs w:val="24"/>
        </w:rPr>
        <w:t>are:</w:t>
      </w:r>
    </w:p>
    <w:p w:rsidR="00A31435" w:rsidRPr="008D60F0" w:rsidRDefault="00A31435" w:rsidP="00A31435">
      <w:pPr>
        <w:rPr>
          <w:sz w:val="24"/>
          <w:szCs w:val="24"/>
        </w:rPr>
      </w:pPr>
    </w:p>
    <w:tbl>
      <w:tblPr>
        <w:tblStyle w:val="TableGrid"/>
        <w:tblW w:w="0" w:type="auto"/>
        <w:tblLook w:val="04A0"/>
      </w:tblPr>
      <w:tblGrid>
        <w:gridCol w:w="2394"/>
        <w:gridCol w:w="2394"/>
        <w:gridCol w:w="2394"/>
        <w:gridCol w:w="2394"/>
      </w:tblGrid>
      <w:tr w:rsidR="00A31435" w:rsidRPr="008D60F0" w:rsidTr="00027041">
        <w:tc>
          <w:tcPr>
            <w:tcW w:w="2394" w:type="dxa"/>
          </w:tcPr>
          <w:p w:rsidR="00A31435" w:rsidRPr="008D60F0" w:rsidRDefault="00A31435" w:rsidP="00027041">
            <w:pPr>
              <w:rPr>
                <w:b/>
                <w:sz w:val="24"/>
                <w:szCs w:val="24"/>
              </w:rPr>
            </w:pPr>
            <w:r w:rsidRPr="008D60F0">
              <w:rPr>
                <w:b/>
                <w:sz w:val="24"/>
                <w:szCs w:val="24"/>
              </w:rPr>
              <w:t>Name</w:t>
            </w:r>
          </w:p>
        </w:tc>
        <w:tc>
          <w:tcPr>
            <w:tcW w:w="2394" w:type="dxa"/>
          </w:tcPr>
          <w:p w:rsidR="00A31435" w:rsidRPr="008D60F0" w:rsidRDefault="00A31435" w:rsidP="00027041">
            <w:pPr>
              <w:rPr>
                <w:b/>
                <w:sz w:val="24"/>
                <w:szCs w:val="24"/>
              </w:rPr>
            </w:pPr>
            <w:r w:rsidRPr="008D60F0">
              <w:rPr>
                <w:b/>
                <w:sz w:val="24"/>
                <w:szCs w:val="24"/>
              </w:rPr>
              <w:t>Acreage</w:t>
            </w:r>
          </w:p>
        </w:tc>
        <w:tc>
          <w:tcPr>
            <w:tcW w:w="2394" w:type="dxa"/>
          </w:tcPr>
          <w:p w:rsidR="00A31435" w:rsidRPr="008D60F0" w:rsidRDefault="00A31435" w:rsidP="00027041">
            <w:pPr>
              <w:rPr>
                <w:b/>
                <w:sz w:val="24"/>
                <w:szCs w:val="24"/>
              </w:rPr>
            </w:pPr>
            <w:r w:rsidRPr="008D60F0">
              <w:rPr>
                <w:b/>
                <w:sz w:val="24"/>
                <w:szCs w:val="24"/>
              </w:rPr>
              <w:t>Potential Population</w:t>
            </w:r>
          </w:p>
        </w:tc>
        <w:tc>
          <w:tcPr>
            <w:tcW w:w="2394" w:type="dxa"/>
          </w:tcPr>
          <w:p w:rsidR="00A31435" w:rsidRPr="008D60F0" w:rsidRDefault="00A31435" w:rsidP="00027041">
            <w:pPr>
              <w:rPr>
                <w:b/>
                <w:sz w:val="24"/>
                <w:szCs w:val="24"/>
              </w:rPr>
            </w:pPr>
            <w:r w:rsidRPr="008D60F0">
              <w:rPr>
                <w:b/>
                <w:sz w:val="24"/>
                <w:szCs w:val="24"/>
              </w:rPr>
              <w:t>Theme</w:t>
            </w:r>
          </w:p>
        </w:tc>
      </w:tr>
      <w:tr w:rsidR="00A31435" w:rsidRPr="008D60F0" w:rsidTr="00027041">
        <w:tc>
          <w:tcPr>
            <w:tcW w:w="2394" w:type="dxa"/>
          </w:tcPr>
          <w:p w:rsidR="00A31435" w:rsidRPr="008D60F0" w:rsidRDefault="00A31435" w:rsidP="00027041">
            <w:pPr>
              <w:rPr>
                <w:sz w:val="24"/>
                <w:szCs w:val="24"/>
              </w:rPr>
            </w:pPr>
            <w:r w:rsidRPr="008D60F0">
              <w:rPr>
                <w:sz w:val="24"/>
                <w:szCs w:val="24"/>
              </w:rPr>
              <w:t>Crosspointe Urban Center</w:t>
            </w:r>
          </w:p>
        </w:tc>
        <w:tc>
          <w:tcPr>
            <w:tcW w:w="2394" w:type="dxa"/>
          </w:tcPr>
          <w:p w:rsidR="00A31435" w:rsidRPr="008D60F0" w:rsidRDefault="00A31435" w:rsidP="00027041">
            <w:pPr>
              <w:rPr>
                <w:sz w:val="24"/>
                <w:szCs w:val="24"/>
              </w:rPr>
            </w:pPr>
            <w:r w:rsidRPr="008D60F0">
              <w:rPr>
                <w:sz w:val="24"/>
                <w:szCs w:val="24"/>
              </w:rPr>
              <w:t>840</w:t>
            </w:r>
          </w:p>
        </w:tc>
        <w:tc>
          <w:tcPr>
            <w:tcW w:w="2394" w:type="dxa"/>
          </w:tcPr>
          <w:p w:rsidR="00A31435" w:rsidRPr="008D60F0" w:rsidRDefault="00A31435" w:rsidP="00027041">
            <w:pPr>
              <w:rPr>
                <w:sz w:val="24"/>
                <w:szCs w:val="24"/>
              </w:rPr>
            </w:pPr>
            <w:r w:rsidRPr="008D60F0">
              <w:rPr>
                <w:sz w:val="24"/>
                <w:szCs w:val="24"/>
              </w:rPr>
              <w:t>7,500+</w:t>
            </w:r>
          </w:p>
        </w:tc>
        <w:tc>
          <w:tcPr>
            <w:tcW w:w="2394" w:type="dxa"/>
          </w:tcPr>
          <w:p w:rsidR="00A31435" w:rsidRPr="008D60F0" w:rsidRDefault="00A31435" w:rsidP="00027041">
            <w:pPr>
              <w:rPr>
                <w:sz w:val="24"/>
                <w:szCs w:val="24"/>
              </w:rPr>
            </w:pPr>
            <w:r w:rsidRPr="008D60F0">
              <w:rPr>
                <w:sz w:val="24"/>
                <w:szCs w:val="24"/>
              </w:rPr>
              <w:t>-Entertainment</w:t>
            </w:r>
          </w:p>
          <w:p w:rsidR="00A31435" w:rsidRPr="008D60F0" w:rsidRDefault="00A31435" w:rsidP="00027041">
            <w:pPr>
              <w:rPr>
                <w:sz w:val="24"/>
                <w:szCs w:val="24"/>
              </w:rPr>
            </w:pPr>
            <w:r w:rsidRPr="008D60F0">
              <w:rPr>
                <w:sz w:val="24"/>
                <w:szCs w:val="24"/>
              </w:rPr>
              <w:t>-Office &amp; Employment</w:t>
            </w:r>
          </w:p>
          <w:p w:rsidR="00A31435" w:rsidRPr="008D60F0" w:rsidRDefault="00A31435" w:rsidP="00027041">
            <w:pPr>
              <w:rPr>
                <w:sz w:val="24"/>
                <w:szCs w:val="24"/>
              </w:rPr>
            </w:pPr>
            <w:r w:rsidRPr="008D60F0">
              <w:rPr>
                <w:sz w:val="24"/>
                <w:szCs w:val="24"/>
              </w:rPr>
              <w:t>-Power Commercial</w:t>
            </w:r>
          </w:p>
          <w:p w:rsidR="00A31435" w:rsidRPr="008D60F0" w:rsidRDefault="00A31435" w:rsidP="00027041">
            <w:pPr>
              <w:rPr>
                <w:sz w:val="24"/>
                <w:szCs w:val="24"/>
              </w:rPr>
            </w:pPr>
            <w:r w:rsidRPr="008D60F0">
              <w:rPr>
                <w:sz w:val="24"/>
                <w:szCs w:val="24"/>
              </w:rPr>
              <w:t>-High Density Residential</w:t>
            </w:r>
          </w:p>
        </w:tc>
      </w:tr>
      <w:tr w:rsidR="00A31435" w:rsidRPr="008D60F0" w:rsidTr="00027041">
        <w:tc>
          <w:tcPr>
            <w:tcW w:w="2394" w:type="dxa"/>
          </w:tcPr>
          <w:p w:rsidR="00A31435" w:rsidRPr="008D60F0" w:rsidRDefault="00A31435" w:rsidP="00027041">
            <w:pPr>
              <w:rPr>
                <w:sz w:val="24"/>
                <w:szCs w:val="24"/>
              </w:rPr>
            </w:pPr>
            <w:r w:rsidRPr="008D60F0">
              <w:rPr>
                <w:sz w:val="24"/>
                <w:szCs w:val="24"/>
              </w:rPr>
              <w:t>Parkins Mill Urban Center</w:t>
            </w:r>
          </w:p>
        </w:tc>
        <w:tc>
          <w:tcPr>
            <w:tcW w:w="2394" w:type="dxa"/>
          </w:tcPr>
          <w:p w:rsidR="00A31435" w:rsidRPr="008D60F0" w:rsidRDefault="00A31435" w:rsidP="00027041">
            <w:pPr>
              <w:rPr>
                <w:sz w:val="24"/>
                <w:szCs w:val="24"/>
              </w:rPr>
            </w:pPr>
            <w:r w:rsidRPr="008D60F0">
              <w:rPr>
                <w:sz w:val="24"/>
                <w:szCs w:val="24"/>
              </w:rPr>
              <w:t>450</w:t>
            </w:r>
          </w:p>
        </w:tc>
        <w:tc>
          <w:tcPr>
            <w:tcW w:w="2394" w:type="dxa"/>
          </w:tcPr>
          <w:p w:rsidR="00A31435" w:rsidRPr="008D60F0" w:rsidRDefault="00A31435" w:rsidP="00027041">
            <w:pPr>
              <w:rPr>
                <w:sz w:val="24"/>
                <w:szCs w:val="24"/>
              </w:rPr>
            </w:pPr>
            <w:r w:rsidRPr="008D60F0">
              <w:rPr>
                <w:sz w:val="24"/>
                <w:szCs w:val="24"/>
              </w:rPr>
              <w:t>5,400+</w:t>
            </w:r>
          </w:p>
        </w:tc>
        <w:tc>
          <w:tcPr>
            <w:tcW w:w="2394" w:type="dxa"/>
          </w:tcPr>
          <w:p w:rsidR="00A31435" w:rsidRPr="008D60F0" w:rsidRDefault="00A31435" w:rsidP="00027041">
            <w:pPr>
              <w:rPr>
                <w:sz w:val="24"/>
                <w:szCs w:val="24"/>
              </w:rPr>
            </w:pPr>
            <w:r w:rsidRPr="008D60F0">
              <w:rPr>
                <w:sz w:val="24"/>
                <w:szCs w:val="24"/>
              </w:rPr>
              <w:t>-Recreation (Aquatic)</w:t>
            </w:r>
          </w:p>
          <w:p w:rsidR="00A31435" w:rsidRPr="008D60F0" w:rsidRDefault="00A31435" w:rsidP="00027041">
            <w:pPr>
              <w:rPr>
                <w:sz w:val="24"/>
                <w:szCs w:val="24"/>
              </w:rPr>
            </w:pPr>
            <w:r w:rsidRPr="008D60F0">
              <w:rPr>
                <w:sz w:val="24"/>
                <w:szCs w:val="24"/>
              </w:rPr>
              <w:t>-Schools &amp; Community Facilities</w:t>
            </w:r>
          </w:p>
          <w:p w:rsidR="00A31435" w:rsidRPr="008D60F0" w:rsidRDefault="00A31435" w:rsidP="00027041">
            <w:pPr>
              <w:rPr>
                <w:sz w:val="24"/>
                <w:szCs w:val="24"/>
              </w:rPr>
            </w:pPr>
            <w:r w:rsidRPr="008D60F0">
              <w:rPr>
                <w:sz w:val="24"/>
                <w:szCs w:val="24"/>
              </w:rPr>
              <w:t>-High Density Residential</w:t>
            </w:r>
          </w:p>
          <w:p w:rsidR="00A31435" w:rsidRPr="008D60F0" w:rsidRDefault="00A31435" w:rsidP="00027041">
            <w:pPr>
              <w:rPr>
                <w:sz w:val="24"/>
                <w:szCs w:val="24"/>
              </w:rPr>
            </w:pPr>
            <w:r w:rsidRPr="008D60F0">
              <w:rPr>
                <w:sz w:val="24"/>
                <w:szCs w:val="24"/>
              </w:rPr>
              <w:t>-Main Street Character</w:t>
            </w:r>
          </w:p>
        </w:tc>
      </w:tr>
      <w:tr w:rsidR="00A31435" w:rsidRPr="008D60F0" w:rsidTr="00027041">
        <w:tc>
          <w:tcPr>
            <w:tcW w:w="2394" w:type="dxa"/>
          </w:tcPr>
          <w:p w:rsidR="00A31435" w:rsidRPr="008D60F0" w:rsidRDefault="00A31435" w:rsidP="00027041">
            <w:pPr>
              <w:rPr>
                <w:sz w:val="24"/>
                <w:szCs w:val="24"/>
              </w:rPr>
            </w:pPr>
            <w:r w:rsidRPr="008D60F0">
              <w:rPr>
                <w:sz w:val="24"/>
                <w:szCs w:val="24"/>
              </w:rPr>
              <w:t>Greenwood Urban Center</w:t>
            </w:r>
          </w:p>
        </w:tc>
        <w:tc>
          <w:tcPr>
            <w:tcW w:w="2394" w:type="dxa"/>
          </w:tcPr>
          <w:p w:rsidR="00A31435" w:rsidRPr="008D60F0" w:rsidRDefault="00A31435" w:rsidP="00027041">
            <w:pPr>
              <w:rPr>
                <w:sz w:val="24"/>
                <w:szCs w:val="24"/>
              </w:rPr>
            </w:pPr>
            <w:r w:rsidRPr="008D60F0">
              <w:rPr>
                <w:sz w:val="24"/>
                <w:szCs w:val="24"/>
              </w:rPr>
              <w:t>1010</w:t>
            </w:r>
          </w:p>
        </w:tc>
        <w:tc>
          <w:tcPr>
            <w:tcW w:w="2394" w:type="dxa"/>
          </w:tcPr>
          <w:p w:rsidR="00A31435" w:rsidRPr="008D60F0" w:rsidRDefault="00A31435" w:rsidP="00027041">
            <w:pPr>
              <w:rPr>
                <w:sz w:val="24"/>
                <w:szCs w:val="24"/>
              </w:rPr>
            </w:pPr>
            <w:r w:rsidRPr="008D60F0">
              <w:rPr>
                <w:sz w:val="24"/>
                <w:szCs w:val="24"/>
              </w:rPr>
              <w:t>10,800+</w:t>
            </w:r>
          </w:p>
        </w:tc>
        <w:tc>
          <w:tcPr>
            <w:tcW w:w="2394" w:type="dxa"/>
          </w:tcPr>
          <w:p w:rsidR="00A31435" w:rsidRPr="008D60F0" w:rsidRDefault="00A31435" w:rsidP="00027041">
            <w:pPr>
              <w:rPr>
                <w:sz w:val="24"/>
                <w:szCs w:val="24"/>
              </w:rPr>
            </w:pPr>
            <w:r w:rsidRPr="008D60F0">
              <w:rPr>
                <w:sz w:val="24"/>
                <w:szCs w:val="24"/>
              </w:rPr>
              <w:t>-Major Residential</w:t>
            </w:r>
          </w:p>
          <w:p w:rsidR="00A31435" w:rsidRPr="008D60F0" w:rsidRDefault="00A31435" w:rsidP="00027041">
            <w:pPr>
              <w:rPr>
                <w:sz w:val="24"/>
                <w:szCs w:val="24"/>
              </w:rPr>
            </w:pPr>
            <w:r w:rsidRPr="008D60F0">
              <w:rPr>
                <w:sz w:val="24"/>
                <w:szCs w:val="24"/>
              </w:rPr>
              <w:t>-Campus Office Community</w:t>
            </w:r>
          </w:p>
          <w:p w:rsidR="00A31435" w:rsidRPr="008D60F0" w:rsidRDefault="00A31435" w:rsidP="00027041">
            <w:pPr>
              <w:rPr>
                <w:sz w:val="24"/>
                <w:szCs w:val="24"/>
              </w:rPr>
            </w:pPr>
            <w:r w:rsidRPr="008D60F0">
              <w:rPr>
                <w:sz w:val="24"/>
                <w:szCs w:val="24"/>
              </w:rPr>
              <w:t>-Commercial - Creekside in Character</w:t>
            </w:r>
          </w:p>
          <w:p w:rsidR="00A31435" w:rsidRPr="008D60F0" w:rsidRDefault="00A31435" w:rsidP="00027041">
            <w:pPr>
              <w:rPr>
                <w:sz w:val="24"/>
                <w:szCs w:val="24"/>
              </w:rPr>
            </w:pPr>
            <w:r w:rsidRPr="008D60F0">
              <w:rPr>
                <w:sz w:val="24"/>
                <w:szCs w:val="24"/>
              </w:rPr>
              <w:t>-Recreation &amp; Open Space Integration</w:t>
            </w:r>
          </w:p>
        </w:tc>
      </w:tr>
      <w:tr w:rsidR="00A31435" w:rsidRPr="008D60F0" w:rsidTr="00027041">
        <w:tc>
          <w:tcPr>
            <w:tcW w:w="2394" w:type="dxa"/>
          </w:tcPr>
          <w:p w:rsidR="00A31435" w:rsidRPr="008D60F0" w:rsidRDefault="00A31435" w:rsidP="00027041">
            <w:pPr>
              <w:rPr>
                <w:sz w:val="24"/>
                <w:szCs w:val="24"/>
              </w:rPr>
            </w:pPr>
            <w:r w:rsidRPr="008D60F0">
              <w:rPr>
                <w:sz w:val="24"/>
                <w:szCs w:val="24"/>
              </w:rPr>
              <w:t>Sherando Urban Center</w:t>
            </w:r>
          </w:p>
        </w:tc>
        <w:tc>
          <w:tcPr>
            <w:tcW w:w="2394" w:type="dxa"/>
          </w:tcPr>
          <w:p w:rsidR="00A31435" w:rsidRPr="008D60F0" w:rsidRDefault="00A31435" w:rsidP="00027041">
            <w:pPr>
              <w:rPr>
                <w:sz w:val="24"/>
                <w:szCs w:val="24"/>
              </w:rPr>
            </w:pPr>
            <w:r w:rsidRPr="008D60F0">
              <w:rPr>
                <w:sz w:val="24"/>
                <w:szCs w:val="24"/>
              </w:rPr>
              <w:t>930</w:t>
            </w:r>
          </w:p>
        </w:tc>
        <w:tc>
          <w:tcPr>
            <w:tcW w:w="2394" w:type="dxa"/>
          </w:tcPr>
          <w:p w:rsidR="00A31435" w:rsidRPr="008D60F0" w:rsidRDefault="00A31435" w:rsidP="00027041">
            <w:pPr>
              <w:rPr>
                <w:sz w:val="24"/>
                <w:szCs w:val="24"/>
              </w:rPr>
            </w:pPr>
            <w:r w:rsidRPr="008D60F0">
              <w:rPr>
                <w:sz w:val="24"/>
                <w:szCs w:val="24"/>
              </w:rPr>
              <w:t>7,100+</w:t>
            </w:r>
          </w:p>
        </w:tc>
        <w:tc>
          <w:tcPr>
            <w:tcW w:w="2394" w:type="dxa"/>
          </w:tcPr>
          <w:p w:rsidR="00A31435" w:rsidRPr="008D60F0" w:rsidRDefault="00A31435" w:rsidP="00027041">
            <w:pPr>
              <w:rPr>
                <w:sz w:val="24"/>
                <w:szCs w:val="24"/>
              </w:rPr>
            </w:pPr>
            <w:r w:rsidRPr="008D60F0">
              <w:rPr>
                <w:sz w:val="24"/>
                <w:szCs w:val="24"/>
              </w:rPr>
              <w:t>-Entertainment</w:t>
            </w:r>
          </w:p>
          <w:p w:rsidR="00A31435" w:rsidRPr="008D60F0" w:rsidRDefault="00A31435" w:rsidP="00027041">
            <w:pPr>
              <w:rPr>
                <w:sz w:val="24"/>
                <w:szCs w:val="24"/>
              </w:rPr>
            </w:pPr>
            <w:r w:rsidRPr="008D60F0">
              <w:rPr>
                <w:sz w:val="24"/>
                <w:szCs w:val="24"/>
              </w:rPr>
              <w:t>-Recreation &amp; Schools</w:t>
            </w:r>
          </w:p>
          <w:p w:rsidR="00A31435" w:rsidRPr="008D60F0" w:rsidRDefault="00A31435" w:rsidP="00027041">
            <w:pPr>
              <w:rPr>
                <w:sz w:val="24"/>
                <w:szCs w:val="24"/>
              </w:rPr>
            </w:pPr>
            <w:r w:rsidRPr="008D60F0">
              <w:rPr>
                <w:sz w:val="24"/>
                <w:szCs w:val="24"/>
              </w:rPr>
              <w:t>-High Density Residential</w:t>
            </w:r>
          </w:p>
          <w:p w:rsidR="00A31435" w:rsidRPr="008D60F0" w:rsidRDefault="00A31435" w:rsidP="00027041">
            <w:pPr>
              <w:rPr>
                <w:sz w:val="24"/>
                <w:szCs w:val="24"/>
              </w:rPr>
            </w:pPr>
            <w:r w:rsidRPr="008D60F0">
              <w:rPr>
                <w:sz w:val="24"/>
                <w:szCs w:val="24"/>
              </w:rPr>
              <w:t>-Main Street Character</w:t>
            </w:r>
          </w:p>
          <w:p w:rsidR="00A31435" w:rsidRPr="008D60F0" w:rsidRDefault="00A31435" w:rsidP="00027041">
            <w:pPr>
              <w:rPr>
                <w:sz w:val="24"/>
                <w:szCs w:val="24"/>
              </w:rPr>
            </w:pPr>
          </w:p>
        </w:tc>
      </w:tr>
    </w:tbl>
    <w:p w:rsidR="00A31435" w:rsidRPr="008D60F0" w:rsidRDefault="00A31435" w:rsidP="00A31435">
      <w:pPr>
        <w:rPr>
          <w:sz w:val="24"/>
          <w:szCs w:val="24"/>
        </w:rPr>
      </w:pPr>
    </w:p>
    <w:p w:rsidR="00A31435" w:rsidRPr="008D60F0" w:rsidRDefault="00A31435" w:rsidP="00A31435">
      <w:pPr>
        <w:rPr>
          <w:sz w:val="24"/>
          <w:szCs w:val="24"/>
        </w:rPr>
      </w:pPr>
    </w:p>
    <w:p w:rsidR="00772529" w:rsidRDefault="00772529"/>
    <w:sectPr w:rsidR="00772529" w:rsidSect="0077252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31435"/>
    <w:rsid w:val="00157895"/>
    <w:rsid w:val="002A70CA"/>
    <w:rsid w:val="003A094F"/>
    <w:rsid w:val="003F38E3"/>
    <w:rsid w:val="0059152A"/>
    <w:rsid w:val="005C4E70"/>
    <w:rsid w:val="006011F0"/>
    <w:rsid w:val="00771BEE"/>
    <w:rsid w:val="00772529"/>
    <w:rsid w:val="0088674D"/>
    <w:rsid w:val="008F4BBB"/>
    <w:rsid w:val="009118E7"/>
    <w:rsid w:val="00A31435"/>
    <w:rsid w:val="00A426EB"/>
    <w:rsid w:val="00AB753D"/>
    <w:rsid w:val="00C24FD9"/>
    <w:rsid w:val="00E66F01"/>
    <w:rsid w:val="00EB5491"/>
    <w:rsid w:val="00F21485"/>
    <w:rsid w:val="00F27688"/>
    <w:rsid w:val="00FC6D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435"/>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14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387</Words>
  <Characters>2114</Characters>
  <Application>Microsoft Office Word</Application>
  <DocSecurity>0</DocSecurity>
  <Lines>58</Lines>
  <Paragraphs>55</Paragraphs>
  <ScaleCrop>false</ScaleCrop>
  <Company/>
  <LinksUpToDate>false</LinksUpToDate>
  <CharactersWithSpaces>2446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elawrenc</dc:creator>
  <cp:keywords/>
  <dc:description/>
  <cp:lastModifiedBy>elawrenc</cp:lastModifiedBy>
  <cp:revision>2</cp:revision>
  <dcterms:created xsi:type="dcterms:W3CDTF">2013-05-01T19:29:00Z</dcterms:created>
  <dcterms:modified xsi:type="dcterms:W3CDTF">2013-05-01T19:32:00Z</dcterms:modified>
</cp:coreProperties>
</file>